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B0C" w14:textId="4F0D2980" w:rsidR="00B72A61" w:rsidRDefault="00B72A61" w:rsidP="00B72A61">
      <w:pPr>
        <w:pStyle w:val="Heading1"/>
      </w:pPr>
      <w:r>
        <w:t>Managed Service Website Content</w:t>
      </w:r>
    </w:p>
    <w:p w14:paraId="1989519F" w14:textId="77777777" w:rsidR="00B72A61" w:rsidRDefault="00B72A61"/>
    <w:p w14:paraId="4127CCA4" w14:textId="3DCE31F5" w:rsidR="00B72A61" w:rsidRDefault="00B72A61" w:rsidP="00B72A61">
      <w:pPr>
        <w:pStyle w:val="Heading2"/>
      </w:pPr>
      <w:r>
        <w:t>Short, Concise Overview of Service Offering</w:t>
      </w:r>
    </w:p>
    <w:p w14:paraId="3FC8C31A" w14:textId="77777777" w:rsidR="00B72A61" w:rsidRDefault="00B72A61"/>
    <w:p w14:paraId="7595464A" w14:textId="7BE2FD54" w:rsidR="00B72A61" w:rsidRDefault="00B72A61" w:rsidP="00B72A61">
      <w:pPr>
        <w:pStyle w:val="Heading3"/>
      </w:pPr>
      <w:r>
        <w:t>{Company Name} 1031 Exchange Services</w:t>
      </w:r>
    </w:p>
    <w:p w14:paraId="3405B860" w14:textId="2594E4FD" w:rsidR="00B72A61" w:rsidRDefault="021472ED">
      <w:pPr>
        <w:rPr>
          <w:rFonts w:ascii="Calibri" w:hAnsi="Calibri" w:cs="Calibri"/>
          <w:color w:val="212121"/>
          <w:sz w:val="22"/>
          <w:szCs w:val="22"/>
        </w:rPr>
      </w:pPr>
      <w:r w:rsidRPr="021472ED">
        <w:rPr>
          <w:rFonts w:ascii="Calibri" w:hAnsi="Calibri" w:cs="Calibri"/>
          <w:color w:val="212121"/>
          <w:sz w:val="22"/>
          <w:szCs w:val="22"/>
        </w:rPr>
        <w:t>Through {white label QI entity}</w:t>
      </w:r>
      <w:r w:rsidRPr="021472ED">
        <w:rPr>
          <w:rFonts w:ascii="Calibri" w:eastAsia="Times New Roman" w:hAnsi="Calibri" w:cs="Calibri"/>
          <w:color w:val="212121"/>
          <w:sz w:val="22"/>
          <w:szCs w:val="22"/>
        </w:rPr>
        <w:t>, we prov</w:t>
      </w:r>
      <w:r w:rsidRPr="021472ED">
        <w:rPr>
          <w:rFonts w:ascii="Calibri" w:hAnsi="Calibri" w:cs="Calibri"/>
          <w:color w:val="212121"/>
          <w:sz w:val="22"/>
          <w:szCs w:val="22"/>
        </w:rPr>
        <w:t>ide clients access to 1031 exchange services supported by Exchange Manager Pro</w:t>
      </w:r>
      <w:r w:rsidRPr="021472ED">
        <w:rPr>
          <w:rFonts w:ascii="Calibri" w:hAnsi="Calibri" w:cs="Calibri"/>
          <w:color w:val="212121"/>
          <w:sz w:val="22"/>
          <w:szCs w:val="22"/>
          <w:vertAlign w:val="superscript"/>
        </w:rPr>
        <w:t>SM</w:t>
      </w:r>
      <w:r w:rsidRPr="021472ED">
        <w:rPr>
          <w:rFonts w:ascii="Calibri" w:hAnsi="Calibri" w:cs="Calibri"/>
          <w:color w:val="212121"/>
          <w:sz w:val="22"/>
          <w:szCs w:val="22"/>
        </w:rPr>
        <w:t>, the patented 1031 exchange workflow technology, and one of the nation’s leading Qualified Intermediaries.  Clients leveraging {white label QI entity} as the Qualified Intermediary for their 1031 Exchanges benefit from a seamless and transparent transaction by keeping more of their real estate transactions under the same roof.</w:t>
      </w:r>
    </w:p>
    <w:p w14:paraId="08161A2D" w14:textId="77777777" w:rsidR="00B72A61" w:rsidRDefault="00B72A61">
      <w:pPr>
        <w:rPr>
          <w:rFonts w:ascii="Calibri" w:hAnsi="Calibri" w:cs="Calibri"/>
          <w:color w:val="212121"/>
          <w:sz w:val="22"/>
          <w:szCs w:val="22"/>
        </w:rPr>
      </w:pPr>
    </w:p>
    <w:p w14:paraId="0D8ACA1B" w14:textId="539FED5B" w:rsidR="00B72A61" w:rsidRPr="00B72A61" w:rsidRDefault="00B72A61" w:rsidP="00B72A61">
      <w:pPr>
        <w:pStyle w:val="Heading3"/>
      </w:pPr>
      <w:r w:rsidRPr="00B72A61">
        <w:t>Benefits of {white label QI</w:t>
      </w:r>
      <w:r w:rsidR="00253B79">
        <w:t xml:space="preserve"> entity</w:t>
      </w:r>
      <w:r w:rsidRPr="00B72A61">
        <w:t>}</w:t>
      </w:r>
    </w:p>
    <w:p w14:paraId="7679856A" w14:textId="24A7A9A0" w:rsidR="00B72A61" w:rsidRDefault="00B72A61" w:rsidP="13C58ECA">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In-House Coordination:</w:t>
      </w:r>
      <w:r w:rsidRPr="13C58ECA">
        <w:rPr>
          <w:rStyle w:val="apple-converted-space"/>
          <w:rFonts w:ascii="Calibri" w:eastAsiaTheme="majorEastAsia" w:hAnsi="Calibri" w:cs="Calibri"/>
          <w:color w:val="212121"/>
          <w:sz w:val="22"/>
          <w:szCs w:val="22"/>
        </w:rPr>
        <w:t> </w:t>
      </w:r>
      <w:r w:rsidRPr="47009D87">
        <w:rPr>
          <w:rFonts w:ascii="Calibri" w:hAnsi="Calibri" w:cs="Calibri"/>
          <w:color w:val="212121"/>
          <w:sz w:val="22"/>
          <w:szCs w:val="22"/>
        </w:rPr>
        <w:t>We help c</w:t>
      </w:r>
      <w:r>
        <w:rPr>
          <w:rFonts w:ascii="Calibri" w:hAnsi="Calibri" w:cs="Calibri"/>
          <w:color w:val="212121"/>
          <w:sz w:val="22"/>
          <w:szCs w:val="22"/>
        </w:rPr>
        <w:t>oordinate the 1031 exchange through our team, reducing friction and increasing efficiencies.</w:t>
      </w:r>
    </w:p>
    <w:p w14:paraId="2F00228E" w14:textId="42D2CD3C" w:rsidR="00B72A61" w:rsidRDefault="00B72A61" w:rsidP="00B72A61">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Software Workflow:</w:t>
      </w:r>
      <w:r>
        <w:rPr>
          <w:rFonts w:ascii="Calibri" w:hAnsi="Calibri" w:cs="Calibri"/>
          <w:color w:val="212121"/>
          <w:sz w:val="22"/>
          <w:szCs w:val="22"/>
        </w:rPr>
        <w:t> Patented 1031 software, Exchange Manager Pro</w:t>
      </w:r>
      <w:r w:rsidRPr="00B72A61">
        <w:rPr>
          <w:rFonts w:ascii="Calibri" w:hAnsi="Calibri" w:cs="Calibri"/>
          <w:color w:val="212121"/>
          <w:sz w:val="22"/>
          <w:szCs w:val="22"/>
          <w:vertAlign w:val="superscript"/>
        </w:rPr>
        <w:t>SM</w:t>
      </w:r>
      <w:r>
        <w:rPr>
          <w:rFonts w:ascii="Calibri" w:hAnsi="Calibri" w:cs="Calibri"/>
          <w:color w:val="212121"/>
          <w:sz w:val="22"/>
          <w:szCs w:val="22"/>
        </w:rPr>
        <w:t>, keeps clients and advisors informed of transaction timelines, funds available, and other pertinent information throughout the 1031 exchange.</w:t>
      </w:r>
    </w:p>
    <w:p w14:paraId="52546266" w14:textId="7F1F4869" w:rsidR="00B72A61" w:rsidRPr="008E458C" w:rsidRDefault="021472ED" w:rsidP="021472ED">
      <w:pPr>
        <w:pStyle w:val="ListParagraph"/>
        <w:numPr>
          <w:ilvl w:val="0"/>
          <w:numId w:val="1"/>
        </w:numPr>
        <w:spacing w:before="0" w:beforeAutospacing="0" w:after="0" w:afterAutospacing="0" w:line="210" w:lineRule="atLeast"/>
        <w:rPr>
          <w:rFonts w:ascii="Calibri" w:hAnsi="Calibri" w:cs="Calibri"/>
          <w:color w:val="212121"/>
          <w:sz w:val="20"/>
          <w:szCs w:val="20"/>
        </w:rPr>
      </w:pPr>
      <w:r w:rsidRPr="021472ED">
        <w:rPr>
          <w:rFonts w:ascii="Calibri" w:hAnsi="Calibri" w:cs="Calibri"/>
          <w:b/>
          <w:bCs/>
          <w:color w:val="212121"/>
          <w:sz w:val="22"/>
          <w:szCs w:val="22"/>
        </w:rPr>
        <w:t>1031 Exchange Expertise: </w:t>
      </w:r>
      <w:r w:rsidRPr="021472ED">
        <w:rPr>
          <w:rFonts w:ascii="Calibri" w:hAnsi="Calibri" w:cs="Calibri"/>
          <w:color w:val="212121"/>
          <w:sz w:val="22"/>
          <w:szCs w:val="22"/>
        </w:rPr>
        <w:t>{white label QI entity} provides access to Subject Matter Expert Attorneys and Certified Exchange Specialists® (CES®)</w:t>
      </w:r>
    </w:p>
    <w:p w14:paraId="45136F16" w14:textId="70BD4B10" w:rsidR="008E458C" w:rsidRPr="00584036" w:rsidRDefault="008E458C" w:rsidP="00584036">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Security of Funds:</w:t>
      </w:r>
      <w:r>
        <w:rPr>
          <w:rFonts w:ascii="Calibri" w:hAnsi="Calibri" w:cs="Calibri"/>
          <w:color w:val="212121"/>
          <w:sz w:val="20"/>
          <w:szCs w:val="20"/>
        </w:rPr>
        <w:t xml:space="preserve"> </w:t>
      </w:r>
      <w:r>
        <w:rPr>
          <w:rFonts w:ascii="Calibri" w:hAnsi="Calibri" w:cs="Calibri"/>
          <w:color w:val="212121"/>
          <w:sz w:val="22"/>
          <w:szCs w:val="22"/>
        </w:rPr>
        <w:t>Have confidence in the security of your exchange funds with our coverage including: $5</w:t>
      </w:r>
      <w:r w:rsidRPr="008E458C">
        <w:rPr>
          <w:rFonts w:ascii="Calibri" w:hAnsi="Calibri" w:cs="Calibri"/>
          <w:color w:val="212121"/>
          <w:sz w:val="22"/>
          <w:szCs w:val="22"/>
        </w:rPr>
        <w:t>0 million Fidelity Bond, $25 mill</w:t>
      </w:r>
      <w:r w:rsidR="00584036">
        <w:rPr>
          <w:rFonts w:ascii="Calibri" w:hAnsi="Calibri" w:cs="Calibri"/>
          <w:color w:val="212121"/>
          <w:sz w:val="22"/>
          <w:szCs w:val="22"/>
        </w:rPr>
        <w:t>i</w:t>
      </w:r>
      <w:r w:rsidRPr="00584036">
        <w:rPr>
          <w:rFonts w:ascii="Calibri" w:hAnsi="Calibri" w:cs="Calibri"/>
          <w:color w:val="212121"/>
          <w:sz w:val="22"/>
          <w:szCs w:val="22"/>
        </w:rPr>
        <w:t>on Errors &amp; Omissions, and $15 Cyber Liability</w:t>
      </w:r>
    </w:p>
    <w:p w14:paraId="0F6F4704" w14:textId="20EB4724" w:rsidR="00B72A61" w:rsidRDefault="00B72A61" w:rsidP="00B72A61">
      <w:pPr>
        <w:pStyle w:val="Heading2"/>
      </w:pPr>
      <w:r>
        <w:br w:type="page"/>
      </w:r>
      <w:r w:rsidR="021472ED">
        <w:lastRenderedPageBreak/>
        <w:t xml:space="preserve">Detailed Explanation of Service Offering </w:t>
      </w:r>
    </w:p>
    <w:p w14:paraId="7281C3AE" w14:textId="77777777" w:rsidR="00B72A61" w:rsidRDefault="00B72A61" w:rsidP="00B72A61"/>
    <w:p w14:paraId="09D2334C" w14:textId="77777777" w:rsidR="00B72A61" w:rsidRDefault="00B72A61" w:rsidP="00B72A61">
      <w:pPr>
        <w:pStyle w:val="Heading3"/>
      </w:pPr>
      <w:r>
        <w:t>{Company Name} 1031 Exchange Services</w:t>
      </w:r>
    </w:p>
    <w:p w14:paraId="6006AC05" w14:textId="5ED482C6" w:rsidR="00B72A61" w:rsidRDefault="00B72A61" w:rsidP="00B72A61">
      <w:pPr>
        <w:rPr>
          <w:rFonts w:ascii="Calibri" w:hAnsi="Calibri" w:cs="Calibri"/>
          <w:color w:val="212121"/>
          <w:sz w:val="22"/>
          <w:szCs w:val="22"/>
        </w:rPr>
      </w:pPr>
      <w:r>
        <w:rPr>
          <w:rFonts w:ascii="Calibri" w:hAnsi="Calibri" w:cs="Calibri"/>
          <w:color w:val="212121"/>
          <w:sz w:val="22"/>
          <w:szCs w:val="22"/>
        </w:rPr>
        <w:t xml:space="preserve">Through </w:t>
      </w:r>
      <w:r w:rsidR="00514FA4">
        <w:rPr>
          <w:rFonts w:ascii="Calibri" w:hAnsi="Calibri" w:cs="Calibri"/>
          <w:color w:val="212121"/>
          <w:sz w:val="22"/>
          <w:szCs w:val="22"/>
        </w:rPr>
        <w:t>{white label QI entity}</w:t>
      </w:r>
      <w:r w:rsidRPr="47009D87">
        <w:rPr>
          <w:rFonts w:ascii="Calibri" w:hAnsi="Calibri" w:cs="Calibri"/>
          <w:color w:val="212121"/>
          <w:sz w:val="22"/>
          <w:szCs w:val="22"/>
        </w:rPr>
        <w:t xml:space="preserve">, we </w:t>
      </w:r>
      <w:r>
        <w:rPr>
          <w:rFonts w:ascii="Calibri" w:hAnsi="Calibri" w:cs="Calibri"/>
          <w:color w:val="212121"/>
          <w:sz w:val="22"/>
          <w:szCs w:val="22"/>
        </w:rPr>
        <w:t>provide clients access to 1031 exchange services supported by Exchange Manager Pro</w:t>
      </w:r>
      <w:r w:rsidRPr="00B72A61">
        <w:rPr>
          <w:rFonts w:ascii="Calibri" w:hAnsi="Calibri" w:cs="Calibri"/>
          <w:color w:val="212121"/>
          <w:sz w:val="22"/>
          <w:szCs w:val="22"/>
          <w:vertAlign w:val="superscript"/>
        </w:rPr>
        <w:t>SM</w:t>
      </w:r>
      <w:r>
        <w:rPr>
          <w:rFonts w:ascii="Calibri" w:hAnsi="Calibri" w:cs="Calibri"/>
          <w:color w:val="212121"/>
          <w:sz w:val="22"/>
          <w:szCs w:val="22"/>
        </w:rPr>
        <w:t xml:space="preserve">, the patented 1031 exchange workflow technology, and one of the nation’s leading Qualified Intermediaries.  Clients leveraging </w:t>
      </w:r>
      <w:r w:rsidR="00253B79">
        <w:rPr>
          <w:rFonts w:ascii="Calibri" w:hAnsi="Calibri" w:cs="Calibri"/>
          <w:color w:val="212121"/>
          <w:sz w:val="22"/>
          <w:szCs w:val="22"/>
        </w:rPr>
        <w:t xml:space="preserve">{white label QI entity} </w:t>
      </w:r>
      <w:r>
        <w:rPr>
          <w:rFonts w:ascii="Calibri" w:hAnsi="Calibri" w:cs="Calibri"/>
          <w:color w:val="212121"/>
          <w:sz w:val="22"/>
          <w:szCs w:val="22"/>
        </w:rPr>
        <w:t>as the Qualified Intermediary for their 1031 Exchanges benefit from a seamless and transparent transaction by keeping more of their real estate transaction under the same roof.</w:t>
      </w:r>
    </w:p>
    <w:p w14:paraId="7B022B9B" w14:textId="77777777" w:rsidR="00B72A61" w:rsidRDefault="00B72A61" w:rsidP="00B72A61">
      <w:pPr>
        <w:rPr>
          <w:rFonts w:ascii="Calibri" w:hAnsi="Calibri" w:cs="Calibri"/>
          <w:color w:val="212121"/>
          <w:sz w:val="22"/>
          <w:szCs w:val="22"/>
        </w:rPr>
      </w:pPr>
    </w:p>
    <w:p w14:paraId="1D4FD9D0" w14:textId="0D17A2FD" w:rsidR="00B72A61" w:rsidRPr="00B72A61" w:rsidRDefault="00B72A61" w:rsidP="00B72A61">
      <w:pPr>
        <w:pStyle w:val="Heading3"/>
      </w:pPr>
      <w:r w:rsidRPr="00B72A61">
        <w:t xml:space="preserve">Benefits of </w:t>
      </w:r>
      <w:r w:rsidR="00514FA4">
        <w:t xml:space="preserve">{white label QI entity} </w:t>
      </w:r>
    </w:p>
    <w:p w14:paraId="1B63C7D2" w14:textId="76AF217D" w:rsidR="00B72A61" w:rsidRDefault="00B72A61" w:rsidP="47009D87">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In-House Coordination:</w:t>
      </w:r>
      <w:r>
        <w:rPr>
          <w:rFonts w:ascii="Calibri" w:hAnsi="Calibri" w:cs="Calibri"/>
          <w:color w:val="212121"/>
          <w:sz w:val="22"/>
          <w:szCs w:val="22"/>
        </w:rPr>
        <w:t> </w:t>
      </w:r>
      <w:r w:rsidRPr="47009D87">
        <w:rPr>
          <w:rFonts w:ascii="Calibri" w:hAnsi="Calibri" w:cs="Calibri"/>
          <w:color w:val="212121"/>
          <w:sz w:val="22"/>
          <w:szCs w:val="22"/>
        </w:rPr>
        <w:t xml:space="preserve">We help </w:t>
      </w:r>
      <w:r>
        <w:rPr>
          <w:rFonts w:ascii="Calibri" w:hAnsi="Calibri" w:cs="Calibri"/>
          <w:color w:val="212121"/>
          <w:sz w:val="22"/>
          <w:szCs w:val="22"/>
        </w:rPr>
        <w:t>coordinate the 1031 exchange through our team reducing friction and increasing efficiencies.</w:t>
      </w:r>
    </w:p>
    <w:p w14:paraId="5DF59329" w14:textId="7E75579D" w:rsidR="00B72A61" w:rsidRDefault="00B72A61" w:rsidP="00B72A61">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Software Workflow:</w:t>
      </w:r>
      <w:r>
        <w:rPr>
          <w:rFonts w:ascii="Calibri" w:hAnsi="Calibri" w:cs="Calibri"/>
          <w:color w:val="212121"/>
          <w:sz w:val="22"/>
          <w:szCs w:val="22"/>
        </w:rPr>
        <w:t> Patented 1031 software, Exchange Manager Pro</w:t>
      </w:r>
      <w:r w:rsidRPr="00B72A61">
        <w:rPr>
          <w:rFonts w:ascii="Calibri" w:hAnsi="Calibri" w:cs="Calibri"/>
          <w:color w:val="212121"/>
          <w:sz w:val="22"/>
          <w:szCs w:val="22"/>
          <w:vertAlign w:val="superscript"/>
        </w:rPr>
        <w:t>SM</w:t>
      </w:r>
      <w:r>
        <w:rPr>
          <w:rFonts w:ascii="Calibri" w:hAnsi="Calibri" w:cs="Calibri"/>
          <w:color w:val="212121"/>
          <w:sz w:val="22"/>
          <w:szCs w:val="22"/>
        </w:rPr>
        <w:t>, keeps clients and advisors informed of transaction timelines, funds available, and other pertinent information throughout the 1031 exchange.</w:t>
      </w:r>
    </w:p>
    <w:p w14:paraId="311B7DDD" w14:textId="3440F0DA" w:rsidR="00B72A61" w:rsidRPr="008E458C" w:rsidRDefault="00B72A61" w:rsidP="00B72A61">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1031 Exchange Expertise: </w:t>
      </w:r>
      <w:r w:rsidR="00253B79">
        <w:rPr>
          <w:rFonts w:ascii="Calibri" w:hAnsi="Calibri" w:cs="Calibri"/>
          <w:color w:val="212121"/>
          <w:sz w:val="22"/>
          <w:szCs w:val="22"/>
        </w:rPr>
        <w:t xml:space="preserve">{white label QI entity} </w:t>
      </w:r>
      <w:r>
        <w:rPr>
          <w:rFonts w:ascii="Calibri" w:hAnsi="Calibri" w:cs="Calibri"/>
          <w:color w:val="212121"/>
          <w:sz w:val="22"/>
          <w:szCs w:val="22"/>
        </w:rPr>
        <w:t>provides access to Subject Matter Expert Attorneys and Certified Exchange Specialists® (CES®)</w:t>
      </w:r>
    </w:p>
    <w:p w14:paraId="72AB648C" w14:textId="77777777" w:rsidR="008E458C" w:rsidRDefault="008E458C" w:rsidP="008E458C">
      <w:pPr>
        <w:pStyle w:val="ListParagraph"/>
        <w:numPr>
          <w:ilvl w:val="0"/>
          <w:numId w:val="1"/>
        </w:numPr>
        <w:spacing w:before="0" w:beforeAutospacing="0" w:after="0" w:afterAutospacing="0" w:line="210" w:lineRule="atLeast"/>
        <w:rPr>
          <w:rFonts w:ascii="Calibri" w:hAnsi="Calibri" w:cs="Calibri"/>
          <w:color w:val="212121"/>
          <w:sz w:val="20"/>
          <w:szCs w:val="20"/>
        </w:rPr>
      </w:pPr>
      <w:r>
        <w:rPr>
          <w:rFonts w:ascii="Calibri" w:hAnsi="Calibri" w:cs="Calibri"/>
          <w:b/>
          <w:bCs/>
          <w:color w:val="212121"/>
          <w:sz w:val="22"/>
          <w:szCs w:val="22"/>
        </w:rPr>
        <w:t>Security of Funds:</w:t>
      </w:r>
      <w:r>
        <w:rPr>
          <w:rFonts w:ascii="Calibri" w:hAnsi="Calibri" w:cs="Calibri"/>
          <w:color w:val="212121"/>
          <w:sz w:val="20"/>
          <w:szCs w:val="20"/>
        </w:rPr>
        <w:t xml:space="preserve"> </w:t>
      </w:r>
      <w:r>
        <w:rPr>
          <w:rFonts w:ascii="Calibri" w:hAnsi="Calibri" w:cs="Calibri"/>
          <w:color w:val="212121"/>
          <w:sz w:val="22"/>
          <w:szCs w:val="22"/>
        </w:rPr>
        <w:t>Have confidence in the security of your exchange funds with our coverage including: $5</w:t>
      </w:r>
      <w:r w:rsidRPr="008E458C">
        <w:rPr>
          <w:rFonts w:ascii="Calibri" w:hAnsi="Calibri" w:cs="Calibri"/>
          <w:color w:val="212121"/>
          <w:sz w:val="22"/>
          <w:szCs w:val="22"/>
        </w:rPr>
        <w:t xml:space="preserve">0 million Fidelity Bond, $25 </w:t>
      </w:r>
      <w:proofErr w:type="spellStart"/>
      <w:r w:rsidRPr="008E458C">
        <w:rPr>
          <w:rFonts w:ascii="Calibri" w:hAnsi="Calibri" w:cs="Calibri"/>
          <w:color w:val="212121"/>
          <w:sz w:val="22"/>
          <w:szCs w:val="22"/>
        </w:rPr>
        <w:t>millon</w:t>
      </w:r>
      <w:proofErr w:type="spellEnd"/>
      <w:r w:rsidRPr="008E458C">
        <w:rPr>
          <w:rFonts w:ascii="Calibri" w:hAnsi="Calibri" w:cs="Calibri"/>
          <w:color w:val="212121"/>
          <w:sz w:val="22"/>
          <w:szCs w:val="22"/>
        </w:rPr>
        <w:t xml:space="preserve"> Errors &amp; Omissions, and $15 Cyber Liability</w:t>
      </w:r>
    </w:p>
    <w:p w14:paraId="7EBEA420" w14:textId="77777777" w:rsidR="008E458C" w:rsidRPr="008E458C" w:rsidRDefault="008E458C" w:rsidP="008E458C">
      <w:pPr>
        <w:spacing w:line="210" w:lineRule="atLeast"/>
        <w:rPr>
          <w:rFonts w:ascii="Calibri" w:hAnsi="Calibri" w:cs="Calibri"/>
          <w:color w:val="212121"/>
          <w:sz w:val="20"/>
          <w:szCs w:val="20"/>
        </w:rPr>
      </w:pPr>
    </w:p>
    <w:p w14:paraId="7E367277" w14:textId="77777777" w:rsidR="00B72A61" w:rsidRPr="00B72A61" w:rsidRDefault="00B72A61" w:rsidP="00B72A61"/>
    <w:p w14:paraId="1052E120" w14:textId="77777777" w:rsidR="00A311CC" w:rsidRDefault="00A311CC" w:rsidP="00B72A61">
      <w:pPr>
        <w:pStyle w:val="Heading3"/>
        <w:sectPr w:rsidR="00A311CC">
          <w:pgSz w:w="12240" w:h="15840"/>
          <w:pgMar w:top="1440" w:right="1440" w:bottom="1440" w:left="1440" w:header="720" w:footer="720" w:gutter="0"/>
          <w:cols w:space="720"/>
          <w:docGrid w:linePitch="360"/>
        </w:sectPr>
      </w:pPr>
    </w:p>
    <w:p w14:paraId="4D4D3C4B" w14:textId="47250E0B" w:rsidR="00A311CC" w:rsidRDefault="00A311CC" w:rsidP="00B72A61">
      <w:pPr>
        <w:pStyle w:val="Heading3"/>
      </w:pPr>
      <w:r>
        <w:t xml:space="preserve">What is a 1031 Exchange? </w:t>
      </w:r>
    </w:p>
    <w:p w14:paraId="01AECEB8" w14:textId="478EAA38" w:rsidR="00A311CC" w:rsidRPr="00A311CC" w:rsidRDefault="00A311CC" w:rsidP="00A311CC">
      <w:pPr>
        <w:rPr>
          <w:rFonts w:ascii="Calibri" w:eastAsia="Times New Roman" w:hAnsi="Calibri" w:cs="Calibri"/>
          <w:color w:val="212121"/>
          <w:kern w:val="0"/>
          <w:sz w:val="22"/>
          <w:szCs w:val="22"/>
          <w14:ligatures w14:val="none"/>
        </w:rPr>
      </w:pPr>
      <w:r w:rsidRPr="00A311CC">
        <w:rPr>
          <w:rFonts w:ascii="Calibri" w:eastAsia="Times New Roman" w:hAnsi="Calibri" w:cs="Calibri"/>
          <w:color w:val="212121"/>
          <w:kern w:val="0"/>
          <w:sz w:val="22"/>
          <w:szCs w:val="22"/>
          <w14:ligatures w14:val="none"/>
        </w:rPr>
        <w:t xml:space="preserve">A 1031 Exchange is a tax deferral tool that allows the seller of qualifying real property to defer taxes on their transaction including Capital Gains, Depreciation Recapture, and Net Investment Income Tax so long as the proceeds from the sale are used to acquire other qualifying, real property. Multiple requirements must be adhered to for a valid 1031 Exchange. </w:t>
      </w:r>
    </w:p>
    <w:p w14:paraId="16807711" w14:textId="67985895" w:rsidR="00B72A61" w:rsidRPr="00A311CC" w:rsidRDefault="00A311CC" w:rsidP="00A311CC">
      <w:pPr>
        <w:pStyle w:val="Heading3"/>
      </w:pPr>
      <w:r>
        <w:br w:type="column"/>
      </w:r>
      <w:r w:rsidR="00B72A61">
        <w:t>What is the role of a Qualified Intermediary?</w:t>
      </w:r>
    </w:p>
    <w:p w14:paraId="0CAECAE7" w14:textId="7D8C60C5" w:rsidR="00B72A61" w:rsidRPr="00B72A61" w:rsidRDefault="00B72A61" w:rsidP="00B72A61">
      <w:p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A Qualified Intermediary ensures compliance with IRC 1031 for a valid 1031 Exchange. This includes the following: </w:t>
      </w:r>
    </w:p>
    <w:p w14:paraId="28AABBDD" w14:textId="77777777" w:rsidR="00B72A61" w:rsidRPr="00B72A61" w:rsidRDefault="00B72A61" w:rsidP="00B72A61">
      <w:pPr>
        <w:numPr>
          <w:ilvl w:val="0"/>
          <w:numId w:val="2"/>
        </w:num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 xml:space="preserve">Acquires relinquished property from the Exchanger and transfers it to the </w:t>
      </w:r>
      <w:proofErr w:type="gramStart"/>
      <w:r w:rsidRPr="00B72A61">
        <w:rPr>
          <w:rFonts w:ascii="Calibri" w:eastAsia="Times New Roman" w:hAnsi="Calibri" w:cs="Calibri"/>
          <w:color w:val="212121"/>
          <w:kern w:val="0"/>
          <w:sz w:val="22"/>
          <w:szCs w:val="22"/>
          <w14:ligatures w14:val="none"/>
        </w:rPr>
        <w:t>Buyer</w:t>
      </w:r>
      <w:proofErr w:type="gramEnd"/>
    </w:p>
    <w:p w14:paraId="38F5CCC0" w14:textId="2E84E6CA" w:rsidR="00B72A61" w:rsidRPr="00B72A61" w:rsidRDefault="00B72A61" w:rsidP="00B72A61">
      <w:pPr>
        <w:numPr>
          <w:ilvl w:val="0"/>
          <w:numId w:val="2"/>
        </w:num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 xml:space="preserve">Ensures Exchanger is not in actual or constructive receipt of any of the funds from the sale of the relinquished </w:t>
      </w:r>
      <w:proofErr w:type="gramStart"/>
      <w:r w:rsidRPr="00B72A61">
        <w:rPr>
          <w:rFonts w:ascii="Calibri" w:eastAsia="Times New Roman" w:hAnsi="Calibri" w:cs="Calibri"/>
          <w:color w:val="212121"/>
          <w:kern w:val="0"/>
          <w:sz w:val="22"/>
          <w:szCs w:val="22"/>
          <w14:ligatures w14:val="none"/>
        </w:rPr>
        <w:t>property</w:t>
      </w:r>
      <w:proofErr w:type="gramEnd"/>
    </w:p>
    <w:p w14:paraId="48BCB5D2" w14:textId="77777777" w:rsidR="00B72A61" w:rsidRPr="00B72A61" w:rsidRDefault="00B72A61" w:rsidP="00B72A61">
      <w:pPr>
        <w:numPr>
          <w:ilvl w:val="0"/>
          <w:numId w:val="2"/>
        </w:num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 xml:space="preserve">Acquires replacement property from the Seller and transfers it to the </w:t>
      </w:r>
      <w:proofErr w:type="gramStart"/>
      <w:r w:rsidRPr="00B72A61">
        <w:rPr>
          <w:rFonts w:ascii="Calibri" w:eastAsia="Times New Roman" w:hAnsi="Calibri" w:cs="Calibri"/>
          <w:color w:val="212121"/>
          <w:kern w:val="0"/>
          <w:sz w:val="22"/>
          <w:szCs w:val="22"/>
          <w14:ligatures w14:val="none"/>
        </w:rPr>
        <w:t>Exchanger</w:t>
      </w:r>
      <w:proofErr w:type="gramEnd"/>
      <w:r w:rsidRPr="00B72A61">
        <w:rPr>
          <w:rFonts w:ascii="Calibri" w:eastAsia="Times New Roman" w:hAnsi="Calibri" w:cs="Calibri"/>
          <w:color w:val="212121"/>
          <w:kern w:val="0"/>
          <w:sz w:val="22"/>
          <w:szCs w:val="22"/>
          <w14:ligatures w14:val="none"/>
        </w:rPr>
        <w:t> </w:t>
      </w:r>
    </w:p>
    <w:p w14:paraId="0A980B7D" w14:textId="77777777" w:rsidR="00B72A61" w:rsidRPr="00B72A61" w:rsidRDefault="00B72A61" w:rsidP="00B72A61">
      <w:pPr>
        <w:numPr>
          <w:ilvl w:val="0"/>
          <w:numId w:val="2"/>
        </w:num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Structures the exchange per IRC 1031</w:t>
      </w:r>
    </w:p>
    <w:p w14:paraId="05FD77DB" w14:textId="77777777" w:rsidR="00B72A61" w:rsidRPr="00B72A61" w:rsidRDefault="00B72A61" w:rsidP="00B72A61">
      <w:pPr>
        <w:numPr>
          <w:ilvl w:val="0"/>
          <w:numId w:val="2"/>
        </w:num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 xml:space="preserve">Prepares all related </w:t>
      </w:r>
      <w:proofErr w:type="gramStart"/>
      <w:r w:rsidRPr="00B72A61">
        <w:rPr>
          <w:rFonts w:ascii="Calibri" w:eastAsia="Times New Roman" w:hAnsi="Calibri" w:cs="Calibri"/>
          <w:color w:val="212121"/>
          <w:kern w:val="0"/>
          <w:sz w:val="22"/>
          <w:szCs w:val="22"/>
          <w14:ligatures w14:val="none"/>
        </w:rPr>
        <w:t>documentation</w:t>
      </w:r>
      <w:proofErr w:type="gramEnd"/>
      <w:r w:rsidRPr="00B72A61">
        <w:rPr>
          <w:rFonts w:ascii="Calibri" w:eastAsia="Times New Roman" w:hAnsi="Calibri" w:cs="Calibri"/>
          <w:color w:val="212121"/>
          <w:kern w:val="0"/>
          <w:sz w:val="22"/>
          <w:szCs w:val="22"/>
          <w14:ligatures w14:val="none"/>
        </w:rPr>
        <w:t> </w:t>
      </w:r>
    </w:p>
    <w:p w14:paraId="67EBBDEF" w14:textId="77777777" w:rsidR="00B72A61" w:rsidRPr="00B72A61" w:rsidRDefault="00B72A61" w:rsidP="00B72A61">
      <w:pPr>
        <w:numPr>
          <w:ilvl w:val="0"/>
          <w:numId w:val="2"/>
        </w:numPr>
        <w:rPr>
          <w:rFonts w:ascii="Calibri" w:eastAsia="Times New Roman" w:hAnsi="Calibri" w:cs="Calibri"/>
          <w:color w:val="212121"/>
          <w:kern w:val="0"/>
          <w:sz w:val="20"/>
          <w:szCs w:val="20"/>
          <w14:ligatures w14:val="none"/>
        </w:rPr>
      </w:pPr>
      <w:r w:rsidRPr="00B72A61">
        <w:rPr>
          <w:rFonts w:ascii="Calibri" w:eastAsia="Times New Roman" w:hAnsi="Calibri" w:cs="Calibri"/>
          <w:color w:val="212121"/>
          <w:kern w:val="0"/>
          <w:sz w:val="22"/>
          <w:szCs w:val="22"/>
          <w14:ligatures w14:val="none"/>
        </w:rPr>
        <w:t xml:space="preserve">Monitors and instructs the Exchanger of action to ensure maintained compliance throughout the </w:t>
      </w:r>
      <w:proofErr w:type="gramStart"/>
      <w:r w:rsidRPr="00B72A61">
        <w:rPr>
          <w:rFonts w:ascii="Calibri" w:eastAsia="Times New Roman" w:hAnsi="Calibri" w:cs="Calibri"/>
          <w:color w:val="212121"/>
          <w:kern w:val="0"/>
          <w:sz w:val="22"/>
          <w:szCs w:val="22"/>
          <w14:ligatures w14:val="none"/>
        </w:rPr>
        <w:t>exchange</w:t>
      </w:r>
      <w:proofErr w:type="gramEnd"/>
    </w:p>
    <w:p w14:paraId="79065C2B" w14:textId="77777777" w:rsidR="00B72A61" w:rsidRDefault="00B72A61"/>
    <w:sectPr w:rsidR="00B72A61" w:rsidSect="00A311C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9B6"/>
    <w:multiLevelType w:val="multilevel"/>
    <w:tmpl w:val="E84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F769E"/>
    <w:multiLevelType w:val="multilevel"/>
    <w:tmpl w:val="D18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159006">
    <w:abstractNumId w:val="0"/>
  </w:num>
  <w:num w:numId="2" w16cid:durableId="122378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61"/>
    <w:rsid w:val="00034BFB"/>
    <w:rsid w:val="00253B79"/>
    <w:rsid w:val="00514FA4"/>
    <w:rsid w:val="00584036"/>
    <w:rsid w:val="008E458C"/>
    <w:rsid w:val="00A311CC"/>
    <w:rsid w:val="00B72A61"/>
    <w:rsid w:val="00C61305"/>
    <w:rsid w:val="021472ED"/>
    <w:rsid w:val="13C58ECA"/>
    <w:rsid w:val="47009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F526"/>
  <w15:chartTrackingRefBased/>
  <w15:docId w15:val="{4049036B-4B56-214E-904F-8C8AD30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A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2A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A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A61"/>
  </w:style>
  <w:style w:type="character" w:customStyle="1" w:styleId="outlook-search-highlight">
    <w:name w:val="outlook-search-highlight"/>
    <w:basedOn w:val="DefaultParagraphFont"/>
    <w:rsid w:val="00B72A61"/>
  </w:style>
  <w:style w:type="paragraph" w:styleId="ListParagraph">
    <w:name w:val="List Paragraph"/>
    <w:basedOn w:val="Normal"/>
    <w:uiPriority w:val="34"/>
    <w:qFormat/>
    <w:rsid w:val="00B72A61"/>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B72A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2A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2A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50084">
      <w:bodyDiv w:val="1"/>
      <w:marLeft w:val="0"/>
      <w:marRight w:val="0"/>
      <w:marTop w:val="0"/>
      <w:marBottom w:val="0"/>
      <w:divBdr>
        <w:top w:val="none" w:sz="0" w:space="0" w:color="auto"/>
        <w:left w:val="none" w:sz="0" w:space="0" w:color="auto"/>
        <w:bottom w:val="none" w:sz="0" w:space="0" w:color="auto"/>
        <w:right w:val="none" w:sz="0" w:space="0" w:color="auto"/>
      </w:divBdr>
    </w:div>
    <w:div w:id="20404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Kilbey</dc:creator>
  <cp:keywords/>
  <dc:description/>
  <cp:lastModifiedBy>Microsoft Office User</cp:lastModifiedBy>
  <cp:revision>10</cp:revision>
  <dcterms:created xsi:type="dcterms:W3CDTF">2023-04-10T15:15:00Z</dcterms:created>
  <dcterms:modified xsi:type="dcterms:W3CDTF">2023-12-14T20:11:00Z</dcterms:modified>
</cp:coreProperties>
</file>